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6804F9">
        <w:rPr>
          <w:b/>
          <w:color w:val="000000"/>
          <w:u w:val="single"/>
        </w:rPr>
        <w:t>45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6804F9">
        <w:rPr>
          <w:rFonts w:cs="Arial"/>
        </w:rPr>
        <w:t>que faça a aquisição de um carro com braço mecânico, para o setor de iluminação pública</w:t>
      </w:r>
      <w:bookmarkStart w:id="0" w:name="_GoBack"/>
      <w:bookmarkEnd w:id="0"/>
      <w:r w:rsidR="00E667CA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6804F9">
        <w:rPr>
          <w:color w:val="000000"/>
        </w:rPr>
        <w:t>12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DB38CC">
        <w:rPr>
          <w:b/>
          <w:color w:val="000000"/>
        </w:rPr>
        <w:t>ANDRÉ LUIZ FERNANDES DE MEDEIROS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FF39-65F8-441F-9155-0C923548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2023-04-11T12:22:00Z</cp:lastPrinted>
  <dcterms:created xsi:type="dcterms:W3CDTF">2023-04-12T13:22:00Z</dcterms:created>
  <dcterms:modified xsi:type="dcterms:W3CDTF">2023-04-12T13:22:00Z</dcterms:modified>
</cp:coreProperties>
</file>