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E1C83">
        <w:rPr>
          <w:b/>
          <w:color w:val="000000"/>
          <w:u w:val="single"/>
        </w:rPr>
        <w:t>010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CE1C83">
        <w:rPr>
          <w:rFonts w:cs="Arial"/>
        </w:rPr>
        <w:t>, a construção da passagem molhada do Riacho Salgado.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E1C83">
        <w:rPr>
          <w:color w:val="000000"/>
        </w:rPr>
        <w:t xml:space="preserve"> 15</w:t>
      </w:r>
      <w:r w:rsidR="00E04E49">
        <w:rPr>
          <w:color w:val="000000"/>
        </w:rPr>
        <w:t xml:space="preserve"> de </w:t>
      </w:r>
      <w:r w:rsidR="00CE1C83">
        <w:rPr>
          <w:color w:val="000000"/>
        </w:rPr>
        <w:t xml:space="preserve">fevereiro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CE1C8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8F24-3AD5-41CD-B01B-4B660EE9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2023-01-30T12:34:00Z</cp:lastPrinted>
  <dcterms:created xsi:type="dcterms:W3CDTF">2023-02-15T12:02:00Z</dcterms:created>
  <dcterms:modified xsi:type="dcterms:W3CDTF">2023-02-15T12:02:00Z</dcterms:modified>
</cp:coreProperties>
</file>