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94919">
        <w:rPr>
          <w:b/>
          <w:color w:val="000000"/>
          <w:u w:val="single"/>
        </w:rPr>
        <w:t>008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194919">
        <w:rPr>
          <w:rFonts w:cs="Arial"/>
        </w:rPr>
        <w:t>, que faça cumprir a lei de reajuste do Piso Salarial do Magistério de 14,95%, para o ano de 2023.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194919">
        <w:rPr>
          <w:color w:val="000000"/>
        </w:rPr>
        <w:t xml:space="preserve"> 30</w:t>
      </w:r>
      <w:r w:rsidR="00E04E49">
        <w:rPr>
          <w:color w:val="000000"/>
        </w:rPr>
        <w:t xml:space="preserve"> de </w:t>
      </w:r>
      <w:r w:rsidR="00E81651">
        <w:rPr>
          <w:color w:val="000000"/>
        </w:rPr>
        <w:t>janeiro 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433BBF" w:rsidP="003B6731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33BB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04B3-183C-4FC8-BECE-484B7EC8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2023-01-27T14:22:00Z</cp:lastPrinted>
  <dcterms:created xsi:type="dcterms:W3CDTF">2023-01-30T12:34:00Z</dcterms:created>
  <dcterms:modified xsi:type="dcterms:W3CDTF">2023-01-30T12:34:00Z</dcterms:modified>
</cp:coreProperties>
</file>