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5542C6">
        <w:rPr>
          <w:b/>
          <w:color w:val="000000"/>
          <w:u w:val="single"/>
        </w:rPr>
        <w:t>44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5542C6">
        <w:rPr>
          <w:rFonts w:cs="Arial"/>
        </w:rPr>
        <w:t>utivo Municipal, a instalação de câmeras de monitoramento em pontos estratégicos da cidade</w:t>
      </w:r>
      <w:r w:rsidR="005E4AAC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5542C6">
        <w:rPr>
          <w:color w:val="000000"/>
        </w:rPr>
        <w:t>22</w:t>
      </w:r>
      <w:r w:rsidR="00E04E49">
        <w:rPr>
          <w:color w:val="000000"/>
        </w:rPr>
        <w:t xml:space="preserve"> de </w:t>
      </w:r>
      <w:r w:rsidR="00C27992">
        <w:rPr>
          <w:color w:val="000000"/>
        </w:rPr>
        <w:t>maio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5542C6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3621-B41E-4164-8B74-26BBCB1D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2024-05-20T14:43:00Z</cp:lastPrinted>
  <dcterms:created xsi:type="dcterms:W3CDTF">2024-05-22T14:25:00Z</dcterms:created>
  <dcterms:modified xsi:type="dcterms:W3CDTF">2024-05-22T14:25:00Z</dcterms:modified>
</cp:coreProperties>
</file>