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0CA9099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543F3">
        <w:rPr>
          <w:b/>
          <w:color w:val="000000"/>
          <w:u w:val="single"/>
        </w:rPr>
        <w:t>2</w:t>
      </w:r>
      <w:r w:rsidR="00EA3FAD">
        <w:rPr>
          <w:b/>
          <w:color w:val="000000"/>
          <w:u w:val="single"/>
        </w:rPr>
        <w:t>9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0D4981C2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>, que</w:t>
      </w:r>
      <w:r w:rsidR="009D1ADD">
        <w:rPr>
          <w:rFonts w:cs="Arial"/>
        </w:rPr>
        <w:t xml:space="preserve"> </w:t>
      </w:r>
      <w:r w:rsidR="00EA3FAD">
        <w:rPr>
          <w:rFonts w:cs="Arial"/>
        </w:rPr>
        <w:t>seja criada a Guarda Municipal.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E9A3F5B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EA3FAD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0D11AF50" w:rsidR="00A83134" w:rsidRDefault="00EA3FAD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2022-03-28T12:38:00Z</cp:lastPrinted>
  <dcterms:created xsi:type="dcterms:W3CDTF">2022-04-04T13:44:00Z</dcterms:created>
  <dcterms:modified xsi:type="dcterms:W3CDTF">2022-04-04T13:44:00Z</dcterms:modified>
</cp:coreProperties>
</file>