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956B0">
        <w:rPr>
          <w:b/>
          <w:color w:val="000000"/>
          <w:u w:val="single"/>
        </w:rPr>
        <w:t>068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CE46C9">
        <w:rPr>
          <w:rFonts w:cs="Arial"/>
        </w:rPr>
        <w:t>e seja fe</w:t>
      </w:r>
      <w:r w:rsidR="00C956B0">
        <w:rPr>
          <w:rFonts w:cs="Arial"/>
        </w:rPr>
        <w:t>ita o roço de todas as estradas vicinais do município, principalmente onde passa o transporte escolar.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C956B0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2843C9">
        <w:rPr>
          <w:color w:val="000000"/>
        </w:rPr>
        <w:t>abril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C956B0">
        <w:rPr>
          <w:b/>
          <w:color w:val="000000"/>
        </w:rPr>
        <w:t>JOÃO BATISTA GARCIA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1B3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2020-04-24T12:54:00Z</cp:lastPrinted>
  <dcterms:created xsi:type="dcterms:W3CDTF">2020-04-27T12:13:00Z</dcterms:created>
  <dcterms:modified xsi:type="dcterms:W3CDTF">2020-04-27T12:13:00Z</dcterms:modified>
</cp:coreProperties>
</file>